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ZAPROSZENIE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Lokalna Grupa Działania – „Powiatu Świdwińskiego” zaprasza członków Rady                   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IX Posiedzenie Rady LGD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dotyczące oceny wniosków o powierzenie grantów w ramach poddziałania 19.2 „Wsparcie na wdrażanie operacji w ramach strategii rozwoju lokalnego kierowanego przez społeczność”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objętego Programem Rozwoju Obszarów Wiejskich na lata 2014-2020 w zakresie: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Wzmocnienia kapitału społecznego, w tym przez podnoszenie wiedzy społeczności lokalnej  w zakresie ochrony środowiska i zmiany klimatycznych,  także  z wykorzystaniem rozwiązań innowacyjnych -Kursy/doradztwo/szkolenia w tym wyjazdy studyjne wzmacniające kapitał społeczny - konkurs nr 1/2018/G,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Promowania obszaru objętego LSR, w tym produktów lub usług lokalnych- Działania promujące obszar LGD, w tym turystykę, produkty i usługi lokalne -konkurs nr 3/2018/G,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Wzmocnienia kapitału społecznego, w tym przez podnoszenie wiedzy społeczności lokalnej  w zakresie ochrony środowiska i zmiany klimatycznych,  także  z wykorzystaniem rozwiązań innowacyjnych – Imprezy aktywizujące mieszkańców - konkurs nr 4/2018/G,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Posiedzenie odbędzie się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w dniu 28 maja 2018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godz. 9:00 w siedzibie                                       LGD - ”Powiatu Świdwińskiego” w Świdwinie ul. Kołobrzeska 43, 78-300 Świdwin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Program posiedzenia Rady</w:t>
        <w:br w:type="textWrapping"/>
        <w:t xml:space="preserve">Lokalnej Grupy Działania – „Powiatu Świdwińskiego”                                                                              w dniu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maja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Otwarcie posiedzenia.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Stwierdzenie quorum.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protokolanta.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sekretarza obrad.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porządku posiedzenia i jego zatwierdzenie.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Zatwierdzenie oceny formalnej i podjęcie uchwał w sprawie: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Zatwierdzenia listy wniosków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powierzenie grantów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kwalifikujących się                    do oceny przez Radę LGD i nie kwalifikujących się do oceny przez Radę LGD złożonych w ramach konkursu nr 1/2018/G, 3/2018/G oraz konkursu                       nr 4/2018/G.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Omówienie wniosków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powierzenie grantów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złożonych w ramach naborów prowadzonych przez LGD spośród wniosków kwalifikujących się do wsparcia.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wniosków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powierzenie grantów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zgodnie z lokalnymi kryteriami wyboru.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wniosków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powierzenie grantów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Podjęcie uchwał w sprawie: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zatwierdzenia listy operacji zgodnych z ogłoszeniem naboru wniosków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powierzenie grantów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zgodnych z LSR.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zatwierdzenia listy operacji wybranych.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zatwierdzenia listy operacji niewybranych.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wybrania/ niewybrania operacji w stosunku do każdego ocenionego wniosku.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Wolne wnioski i zapytania.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Zamknięcie Posiedzenia Rady LGD - „Powiatu Świdwińskiego”.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645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poważaniem: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  <w:tab/>
        <w:tab/>
        <w:tab/>
        <w:tab/>
        <w:tab/>
        <w:tab/>
        <w:t xml:space="preserve">           Przewodnicząca Rady</w:t>
        <w:br w:type="textWrapping"/>
        <w:t xml:space="preserve">                                                                 </w:t>
        <w:tab/>
        <w:tab/>
        <w:tab/>
        <w:t xml:space="preserve">Katarzyna Horoch-Tomczak </w:t>
        <w:tab/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pl-PL"/>
    </w:rPr>
  </w:style>
  <w:style w:type="character" w:styleId="TytułZnak">
    <w:name w:val="Tytuł Znak"/>
    <w:basedOn w:val="Domyślnaczcionkaakapitu"/>
    <w:next w:val="TytułZnak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